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Etiqueta"/>
      </w:pPr>
      <w:r>
        <w:rPr>
          <w:rStyle w:val="Ninguno"/>
          <w:rFonts w:ascii="Times New Roman" w:hAnsi="Times New Roman"/>
          <w:color w:val="000000"/>
          <w:sz w:val="24"/>
          <w:szCs w:val="24"/>
          <w:shd w:val="clear" w:color="auto" w:fill="ffffff"/>
          <w:rtl w:val="0"/>
          <w:lang w:val="es-ES_tradnl"/>
        </w:rPr>
        <w:t xml:space="preserve">Figura. 3 </w:t>
      </w:r>
      <w:r>
        <w:rPr>
          <w:rStyle w:val="Ninguno"/>
          <w:rFonts w:ascii="Times New Roman" w:hAnsi="Times New Roman"/>
          <w:color w:val="000000"/>
          <w:sz w:val="24"/>
          <w:szCs w:val="24"/>
          <w:rtl w:val="0"/>
          <w:lang w:val="fr-FR"/>
        </w:rPr>
        <w:t>Im</w:t>
      </w:r>
      <w:r>
        <w:rPr>
          <w:rStyle w:val="Ninguno"/>
          <w:rFonts w:ascii="Times New Roman" w:hAnsi="Times New Roman" w:hint="default"/>
          <w:color w:val="000000"/>
          <w:sz w:val="24"/>
          <w:szCs w:val="24"/>
          <w:rtl w:val="0"/>
          <w:lang w:val="fr-FR"/>
        </w:rPr>
        <w:t>á</w:t>
      </w:r>
      <w:r>
        <w:rPr>
          <w:rStyle w:val="Ninguno"/>
          <w:rFonts w:ascii="Times New Roman" w:hAnsi="Times New Roman"/>
          <w:color w:val="000000"/>
          <w:sz w:val="24"/>
          <w:szCs w:val="24"/>
          <w:rtl w:val="0"/>
          <w:lang w:val="es-ES_tradnl"/>
        </w:rPr>
        <w:t>genes axiales de TC de la regi</w:t>
      </w:r>
      <w:r>
        <w:rPr>
          <w:rStyle w:val="Ninguno"/>
          <w:rFonts w:ascii="Times New Roman" w:hAnsi="Times New Roman" w:hint="default"/>
          <w:color w:val="000000"/>
          <w:sz w:val="24"/>
          <w:szCs w:val="24"/>
          <w:rtl w:val="0"/>
          <w:lang w:val="es-ES_tradnl"/>
        </w:rPr>
        <w:t>ó</w:t>
      </w:r>
      <w:r>
        <w:rPr>
          <w:rStyle w:val="Ninguno"/>
          <w:rFonts w:ascii="Times New Roman" w:hAnsi="Times New Roman"/>
          <w:color w:val="000000"/>
          <w:sz w:val="24"/>
          <w:szCs w:val="24"/>
          <w:rtl w:val="0"/>
          <w:lang w:val="es-ES_tradnl"/>
        </w:rPr>
        <w:t>n esternoclavicular  que muestra aumento de la densidad  con hiperostosis, osteoesclerosis y erosiones subcondrales  de los dos tercios internos de la clav</w:t>
      </w:r>
      <w:r>
        <w:rPr>
          <w:rStyle w:val="Ninguno"/>
          <w:rFonts w:ascii="Times New Roman" w:hAnsi="Times New Roman" w:hint="default"/>
          <w:color w:val="000000"/>
          <w:sz w:val="24"/>
          <w:szCs w:val="24"/>
          <w:rtl w:val="0"/>
          <w:lang w:val="fr-FR"/>
        </w:rPr>
        <w:t>í</w:t>
      </w:r>
      <w:r>
        <w:rPr>
          <w:rStyle w:val="Ninguno"/>
          <w:rFonts w:ascii="Times New Roman" w:hAnsi="Times New Roman"/>
          <w:color w:val="000000"/>
          <w:sz w:val="24"/>
          <w:szCs w:val="24"/>
          <w:rtl w:val="0"/>
          <w:lang w:val="pt-PT"/>
        </w:rPr>
        <w:t>cula.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Etiqueta">
    <w:name w:val="Etiqueta"/>
    <w:next w:val="Etiquet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fefefe"/>
      <w:spacing w:val="0"/>
      <w:kern w:val="0"/>
      <w:position w:val="0"/>
      <w:sz w:val="24"/>
      <w:szCs w:val="24"/>
      <w:u w:val="none"/>
      <w:vertAlign w:val="baseline"/>
      <w:lang w:val="es-ES_tradnl"/>
      <w14:shadow w14:sx="100000" w14:sy="100000" w14:kx="0" w14:ky="0" w14:algn="tl" w14:blurRad="50800" w14:dist="35997" w14:dir="2700000">
        <w14:srgbClr w14:val="000000">
          <w14:alpha w14:val="68965"/>
        </w14:srgbClr>
      </w14:shadow>
    </w:rPr>
  </w:style>
  <w:style w:type="character" w:styleId="Ninguno">
    <w:name w:val="Ninguno"/>
    <w:rPr>
      <w:lang w:val="es-ES_tradnl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